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AD" w:rsidRPr="002B05AD" w:rsidRDefault="002B05AD" w:rsidP="002B05AD">
      <w:pPr>
        <w:pStyle w:val="Tekstpodstawowy"/>
        <w:jc w:val="center"/>
        <w:rPr>
          <w:rFonts w:asciiTheme="minorHAnsi" w:hAnsiTheme="minorHAnsi"/>
          <w:b/>
          <w:i/>
          <w:sz w:val="22"/>
          <w:szCs w:val="22"/>
        </w:rPr>
      </w:pPr>
      <w:r w:rsidRPr="002B05AD">
        <w:rPr>
          <w:rFonts w:asciiTheme="minorHAnsi" w:hAnsiTheme="minorHAnsi"/>
          <w:b/>
          <w:i/>
          <w:noProof/>
          <w:sz w:val="22"/>
          <w:szCs w:val="22"/>
        </w:rPr>
        <w:drawing>
          <wp:inline distT="0" distB="0" distL="0" distR="0">
            <wp:extent cx="5760720" cy="504658"/>
            <wp:effectExtent l="1905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pic:cNvPicPr>
                      <a:picLocks noChangeAspect="1" noChangeArrowheads="1"/>
                    </pic:cNvPicPr>
                  </pic:nvPicPr>
                  <pic:blipFill>
                    <a:blip r:embed="rId7" cstate="print"/>
                    <a:srcRect/>
                    <a:stretch>
                      <a:fillRect/>
                    </a:stretch>
                  </pic:blipFill>
                  <pic:spPr bwMode="auto">
                    <a:xfrm>
                      <a:off x="0" y="0"/>
                      <a:ext cx="5760720" cy="504658"/>
                    </a:xfrm>
                    <a:prstGeom prst="rect">
                      <a:avLst/>
                    </a:prstGeom>
                    <a:noFill/>
                    <a:ln w="9525">
                      <a:noFill/>
                      <a:miter lim="800000"/>
                      <a:headEnd/>
                      <a:tailEnd/>
                    </a:ln>
                  </pic:spPr>
                </pic:pic>
              </a:graphicData>
            </a:graphic>
          </wp:inline>
        </w:drawing>
      </w:r>
      <w:r w:rsidRPr="002B05AD">
        <w:rPr>
          <w:rFonts w:asciiTheme="minorHAnsi" w:hAnsiTheme="minorHAnsi"/>
          <w:b/>
          <w:i/>
          <w:sz w:val="22"/>
          <w:szCs w:val="22"/>
        </w:rPr>
        <w:t>Szczegółowe wytyczne dotyczące realizacji typu projektu nr 6</w:t>
      </w:r>
    </w:p>
    <w:p w:rsidR="002B05AD" w:rsidRPr="002B05AD" w:rsidRDefault="002B05AD" w:rsidP="002B05AD">
      <w:pPr>
        <w:pStyle w:val="Tekstpodstawowy"/>
        <w:spacing w:line="360" w:lineRule="auto"/>
        <w:jc w:val="center"/>
        <w:rPr>
          <w:rFonts w:asciiTheme="minorHAnsi" w:hAnsiTheme="minorHAnsi"/>
          <w:sz w:val="22"/>
          <w:szCs w:val="22"/>
        </w:rPr>
      </w:pPr>
      <w:r w:rsidRPr="002B05AD">
        <w:rPr>
          <w:rFonts w:asciiTheme="minorHAnsi" w:hAnsiTheme="minorHAnsi"/>
          <w:b/>
          <w:i/>
          <w:sz w:val="22"/>
          <w:szCs w:val="22"/>
        </w:rPr>
        <w:t>w ramach Działania 9.1</w:t>
      </w:r>
    </w:p>
    <w:p w:rsidR="002B05AD" w:rsidRPr="002B05AD" w:rsidRDefault="002B05AD" w:rsidP="002B05AD">
      <w:pPr>
        <w:pStyle w:val="Akapitzlist"/>
        <w:numPr>
          <w:ilvl w:val="0"/>
          <w:numId w:val="1"/>
        </w:numPr>
        <w:spacing w:before="120" w:after="120" w:line="276" w:lineRule="auto"/>
        <w:ind w:left="426" w:hanging="426"/>
        <w:jc w:val="both"/>
        <w:rPr>
          <w:rFonts w:asciiTheme="minorHAnsi" w:hAnsiTheme="minorHAnsi"/>
          <w:szCs w:val="22"/>
        </w:rPr>
      </w:pPr>
      <w:r w:rsidRPr="002B05AD">
        <w:rPr>
          <w:rFonts w:asciiTheme="minorHAnsi" w:hAnsiTheme="minorHAnsi"/>
          <w:szCs w:val="22"/>
        </w:rPr>
        <w:t>Beneficjent realizujący projekt jest zobowiązany do informowania właściwych terytorialnie OPS,                  PCPR lub PUP o realizowanym projekcie i formach wsparcia otrzymywanych przez uczestników.</w:t>
      </w:r>
    </w:p>
    <w:p w:rsidR="002B05AD" w:rsidRPr="002B05AD" w:rsidRDefault="002B05AD" w:rsidP="002B05AD">
      <w:pPr>
        <w:pStyle w:val="Akapitzlist"/>
        <w:numPr>
          <w:ilvl w:val="0"/>
          <w:numId w:val="1"/>
        </w:numPr>
        <w:spacing w:before="120" w:after="120" w:line="276" w:lineRule="auto"/>
        <w:ind w:left="426" w:hanging="426"/>
        <w:jc w:val="both"/>
        <w:rPr>
          <w:rFonts w:asciiTheme="minorHAnsi" w:hAnsiTheme="minorHAnsi"/>
          <w:szCs w:val="22"/>
        </w:rPr>
      </w:pPr>
      <w:r w:rsidRPr="002B05AD">
        <w:rPr>
          <w:rFonts w:asciiTheme="minorHAnsi" w:hAnsiTheme="minorHAnsi"/>
          <w:szCs w:val="22"/>
        </w:rPr>
        <w:t>Beneficjent realizujący projekt jest zobowiązany do współpracy z OWES w zakresie tworzenia miejsc pracy w podmiotach ekonomii społecznej.</w:t>
      </w:r>
    </w:p>
    <w:p w:rsidR="002B05AD" w:rsidRPr="002B05AD" w:rsidRDefault="002B05AD" w:rsidP="002B05AD">
      <w:pPr>
        <w:pStyle w:val="Akapitzlist"/>
        <w:numPr>
          <w:ilvl w:val="0"/>
          <w:numId w:val="1"/>
        </w:numPr>
        <w:spacing w:before="120" w:after="120" w:line="276" w:lineRule="auto"/>
        <w:ind w:left="426" w:hanging="426"/>
        <w:jc w:val="both"/>
        <w:rPr>
          <w:rFonts w:asciiTheme="minorHAnsi" w:hAnsiTheme="minorHAnsi"/>
          <w:szCs w:val="22"/>
        </w:rPr>
      </w:pPr>
      <w:r w:rsidRPr="002B05AD">
        <w:rPr>
          <w:rFonts w:asciiTheme="minorHAnsi" w:hAnsiTheme="minorHAnsi"/>
          <w:szCs w:val="22"/>
        </w:rPr>
        <w:t>Beneficjent realizujący projekt jest zobowiązany do poinformowania właściwych terytorialnie ośrodków pomocy społecznej oraz organizacji partnerskich regionalnych i lokalnych, o których mowa w Programie Operacyjnym Pomoc Żywnościowa 2014-2020 (PO PŻ), o prowadzonej rekrutacji do projektu, a także do niepowielania wsparcia, które osoba lub rodzina zagrożona ubóstwem lub wykluczeniem społecznym uzyskuje w ramach działań towarzyszących w PO PŻ.</w:t>
      </w:r>
    </w:p>
    <w:p w:rsidR="002B05AD" w:rsidRPr="002B05AD" w:rsidRDefault="002B05AD" w:rsidP="002B05AD">
      <w:pPr>
        <w:pStyle w:val="Akapitzlist"/>
        <w:numPr>
          <w:ilvl w:val="0"/>
          <w:numId w:val="1"/>
        </w:numPr>
        <w:spacing w:before="120" w:after="120" w:line="276" w:lineRule="auto"/>
        <w:ind w:left="426" w:hanging="426"/>
        <w:jc w:val="both"/>
        <w:rPr>
          <w:rFonts w:asciiTheme="minorHAnsi" w:hAnsiTheme="minorHAnsi"/>
          <w:szCs w:val="22"/>
        </w:rPr>
      </w:pPr>
      <w:r w:rsidRPr="002B05AD">
        <w:rPr>
          <w:rFonts w:asciiTheme="minorHAnsi" w:hAnsiTheme="minorHAnsi"/>
          <w:szCs w:val="22"/>
        </w:rPr>
        <w:t>Beneficjent realizujący projekt jest zobowiązany do tego, by na</w:t>
      </w:r>
      <w:bookmarkStart w:id="0" w:name="_GoBack"/>
      <w:bookmarkEnd w:id="0"/>
      <w:r w:rsidRPr="002B05AD">
        <w:rPr>
          <w:rFonts w:asciiTheme="minorHAnsi" w:hAnsiTheme="minorHAnsi"/>
          <w:szCs w:val="22"/>
        </w:rPr>
        <w:t xml:space="preserve"> etapie rekrutacji do projektu zobligować uczestników projektu do dostarczenia dokumentów potwierdzających osiągnięcie efektywności społecznej oraz efektywności zatrudnieniowej.</w:t>
      </w:r>
    </w:p>
    <w:p w:rsidR="002B05AD" w:rsidRPr="002B05AD" w:rsidRDefault="002B05AD" w:rsidP="002B05AD">
      <w:pPr>
        <w:pStyle w:val="Akapitzlist"/>
        <w:numPr>
          <w:ilvl w:val="0"/>
          <w:numId w:val="1"/>
        </w:numPr>
        <w:spacing w:before="120" w:after="120" w:line="276" w:lineRule="auto"/>
        <w:ind w:left="426" w:hanging="426"/>
        <w:jc w:val="both"/>
        <w:rPr>
          <w:rFonts w:asciiTheme="minorHAnsi" w:hAnsiTheme="minorHAnsi"/>
          <w:szCs w:val="22"/>
        </w:rPr>
      </w:pPr>
      <w:r w:rsidRPr="002B05AD">
        <w:rPr>
          <w:rFonts w:asciiTheme="minorHAnsi" w:hAnsiTheme="minorHAnsi"/>
          <w:szCs w:val="22"/>
          <w:lang w:eastAsia="ar-SA"/>
        </w:rPr>
        <w:t>OPS i PCPR nie wdrażają samodzielnie instrumentów aktywnej integracji o charakterze zawodowym. W przypadku gdy wnioskodawcą lub partnerem jest OPS lub PCPR, to wdrożeniem instrumentów aktywizacji zawodowej zajmują się podmioty wyspecjalizowane w obszarze aktywizacji zawodowej, w szczególności:</w:t>
      </w:r>
    </w:p>
    <w:p w:rsidR="002B05AD" w:rsidRPr="002B05AD" w:rsidRDefault="002B05AD" w:rsidP="002B05AD">
      <w:pPr>
        <w:pStyle w:val="Akapitzlist"/>
        <w:numPr>
          <w:ilvl w:val="0"/>
          <w:numId w:val="3"/>
        </w:numPr>
        <w:spacing w:before="120" w:after="120" w:line="276" w:lineRule="auto"/>
        <w:jc w:val="both"/>
        <w:rPr>
          <w:rFonts w:asciiTheme="minorHAnsi" w:hAnsiTheme="minorHAnsi"/>
          <w:szCs w:val="22"/>
        </w:rPr>
      </w:pPr>
      <w:r w:rsidRPr="002B05AD">
        <w:rPr>
          <w:rFonts w:asciiTheme="minorHAnsi" w:hAnsiTheme="minorHAnsi"/>
          <w:szCs w:val="22"/>
          <w:lang w:eastAsia="ar-SA"/>
        </w:rPr>
        <w:t xml:space="preserve">PUP i inne instytucje rynku pracy, o których mowa w ustawie z dnia 20 kwietnia 2004 r. </w:t>
      </w:r>
      <w:r w:rsidRPr="002B05AD">
        <w:rPr>
          <w:rFonts w:asciiTheme="minorHAnsi" w:hAnsiTheme="minorHAnsi"/>
          <w:szCs w:val="22"/>
          <w:lang w:eastAsia="ar-SA"/>
        </w:rPr>
        <w:br/>
      </w:r>
      <w:r w:rsidRPr="002B05AD">
        <w:rPr>
          <w:rFonts w:asciiTheme="minorHAnsi" w:hAnsiTheme="minorHAnsi"/>
          <w:i/>
          <w:szCs w:val="22"/>
          <w:lang w:eastAsia="ar-SA"/>
        </w:rPr>
        <w:t xml:space="preserve">o promocji zatrudnienia i instytucjach rynku pracy </w:t>
      </w:r>
      <w:r w:rsidRPr="002B05AD">
        <w:rPr>
          <w:rFonts w:asciiTheme="minorHAnsi" w:hAnsiTheme="minorHAnsi"/>
          <w:szCs w:val="22"/>
        </w:rPr>
        <w:t xml:space="preserve">(Dz. U. z 2017 r. poz. 1065, z </w:t>
      </w:r>
      <w:proofErr w:type="spellStart"/>
      <w:r w:rsidRPr="002B05AD">
        <w:rPr>
          <w:rFonts w:asciiTheme="minorHAnsi" w:hAnsiTheme="minorHAnsi"/>
          <w:szCs w:val="22"/>
        </w:rPr>
        <w:t>późn</w:t>
      </w:r>
      <w:proofErr w:type="spellEnd"/>
      <w:r w:rsidRPr="002B05AD">
        <w:rPr>
          <w:rFonts w:asciiTheme="minorHAnsi" w:hAnsiTheme="minorHAnsi"/>
          <w:szCs w:val="22"/>
        </w:rPr>
        <w:t>. zm.)</w:t>
      </w:r>
      <w:r w:rsidRPr="002B05AD">
        <w:rPr>
          <w:rFonts w:asciiTheme="minorHAnsi" w:hAnsiTheme="minorHAnsi"/>
          <w:i/>
          <w:szCs w:val="22"/>
          <w:lang w:eastAsia="ar-SA"/>
        </w:rPr>
        <w:t>,</w:t>
      </w:r>
    </w:p>
    <w:p w:rsidR="002B05AD" w:rsidRPr="002B05AD" w:rsidRDefault="002B05AD" w:rsidP="002B05AD">
      <w:pPr>
        <w:pStyle w:val="Akapitzlist"/>
        <w:numPr>
          <w:ilvl w:val="0"/>
          <w:numId w:val="3"/>
        </w:numPr>
        <w:spacing w:before="120" w:after="120" w:line="276" w:lineRule="auto"/>
        <w:jc w:val="both"/>
        <w:rPr>
          <w:rFonts w:asciiTheme="minorHAnsi" w:hAnsiTheme="minorHAnsi"/>
          <w:szCs w:val="22"/>
        </w:rPr>
      </w:pPr>
      <w:r w:rsidRPr="002B05AD">
        <w:rPr>
          <w:rFonts w:asciiTheme="minorHAnsi" w:hAnsiTheme="minorHAnsi"/>
          <w:szCs w:val="22"/>
          <w:lang w:eastAsia="ar-SA"/>
        </w:rPr>
        <w:t>CIS i KIS w zakresie reintegracji społecznej i zawodowej zgodnie z ustawą z dnia 13 cze</w:t>
      </w:r>
      <w:r w:rsidRPr="002B05AD">
        <w:rPr>
          <w:rFonts w:asciiTheme="minorHAnsi" w:hAnsiTheme="minorHAnsi"/>
          <w:i/>
          <w:szCs w:val="22"/>
          <w:lang w:eastAsia="ar-SA"/>
        </w:rPr>
        <w:t>rwca  2003 r. o zatrudnieniu socjalnym,</w:t>
      </w:r>
    </w:p>
    <w:p w:rsidR="002B05AD" w:rsidRPr="002B05AD" w:rsidRDefault="002B05AD" w:rsidP="002B05AD">
      <w:pPr>
        <w:pStyle w:val="Akapitzlist"/>
        <w:numPr>
          <w:ilvl w:val="0"/>
          <w:numId w:val="3"/>
        </w:numPr>
        <w:spacing w:before="120" w:after="120" w:line="276" w:lineRule="auto"/>
        <w:jc w:val="both"/>
        <w:rPr>
          <w:rFonts w:asciiTheme="minorHAnsi" w:hAnsiTheme="minorHAnsi"/>
          <w:szCs w:val="22"/>
        </w:rPr>
      </w:pPr>
      <w:r w:rsidRPr="002B05AD">
        <w:rPr>
          <w:rFonts w:asciiTheme="minorHAnsi" w:hAnsiTheme="minorHAnsi"/>
          <w:szCs w:val="22"/>
          <w:lang w:eastAsia="ar-SA"/>
        </w:rPr>
        <w:t xml:space="preserve">przedsiębiorstwa społeczne, o których mowa w </w:t>
      </w:r>
      <w:r w:rsidRPr="002B05AD">
        <w:rPr>
          <w:rFonts w:asciiTheme="minorHAnsi" w:hAnsiTheme="minorHAnsi"/>
          <w:i/>
          <w:szCs w:val="22"/>
          <w:lang w:eastAsia="ar-SA"/>
        </w:rPr>
        <w:t>Wytycznych Ministra Rozwoju i Finansów w zakresie realizacji przedsięwzięć w obszarze włączenia społecznego i zwalczania ubóstwa z wykorzystaniem środków Europejskiego Funduszu Społecznego i Europejskiego Funduszu Rozwoju Regionalnego na lata 2014-2020</w:t>
      </w:r>
      <w:r w:rsidRPr="002B05AD">
        <w:rPr>
          <w:rFonts w:asciiTheme="minorHAnsi" w:hAnsiTheme="minorHAnsi"/>
          <w:szCs w:val="22"/>
          <w:lang w:eastAsia="ar-SA"/>
        </w:rPr>
        <w:t xml:space="preserve">, </w:t>
      </w:r>
    </w:p>
    <w:p w:rsidR="002B05AD" w:rsidRPr="002B05AD" w:rsidRDefault="002B05AD" w:rsidP="002B05AD">
      <w:pPr>
        <w:pStyle w:val="Akapitzlist"/>
        <w:numPr>
          <w:ilvl w:val="0"/>
          <w:numId w:val="3"/>
        </w:numPr>
        <w:spacing w:before="120" w:after="120" w:line="276" w:lineRule="auto"/>
        <w:jc w:val="both"/>
        <w:rPr>
          <w:rFonts w:asciiTheme="minorHAnsi" w:hAnsiTheme="minorHAnsi"/>
          <w:szCs w:val="22"/>
        </w:rPr>
      </w:pPr>
      <w:r w:rsidRPr="002B05AD">
        <w:rPr>
          <w:rFonts w:asciiTheme="minorHAnsi" w:hAnsiTheme="minorHAnsi"/>
          <w:szCs w:val="22"/>
          <w:lang w:eastAsia="ar-SA"/>
        </w:rPr>
        <w:t xml:space="preserve">organizacje pozarządowe, o których mowa w ustawie z dnia 24 kwietnia 2003 r. </w:t>
      </w:r>
      <w:r w:rsidRPr="002B05AD">
        <w:rPr>
          <w:rFonts w:asciiTheme="minorHAnsi" w:hAnsiTheme="minorHAnsi"/>
          <w:i/>
          <w:szCs w:val="22"/>
          <w:lang w:eastAsia="ar-SA"/>
        </w:rPr>
        <w:t>o działalności pożytku publicznego i o wolontariacie.</w:t>
      </w:r>
    </w:p>
    <w:p w:rsidR="002B05AD" w:rsidRPr="002B05AD" w:rsidRDefault="002B05AD" w:rsidP="002B05AD">
      <w:pPr>
        <w:pStyle w:val="Akapitzlist"/>
        <w:numPr>
          <w:ilvl w:val="0"/>
          <w:numId w:val="1"/>
        </w:numPr>
        <w:suppressAutoHyphens/>
        <w:spacing w:line="276" w:lineRule="auto"/>
        <w:ind w:left="426" w:hanging="426"/>
        <w:jc w:val="both"/>
        <w:rPr>
          <w:rFonts w:asciiTheme="minorHAnsi" w:hAnsiTheme="minorHAnsi"/>
          <w:szCs w:val="22"/>
          <w:lang w:eastAsia="ar-SA"/>
        </w:rPr>
      </w:pPr>
      <w:r w:rsidRPr="002B05AD">
        <w:rPr>
          <w:rFonts w:asciiTheme="minorHAnsi" w:hAnsiTheme="minorHAnsi"/>
          <w:szCs w:val="22"/>
          <w:lang w:eastAsia="ar-SA"/>
        </w:rPr>
        <w:t xml:space="preserve">Usługi aktywnej integracji o charakterze zawodowym w ramach projektów OPS lub PCPR </w:t>
      </w:r>
      <w:r w:rsidRPr="002B05AD">
        <w:rPr>
          <w:rFonts w:asciiTheme="minorHAnsi" w:hAnsiTheme="minorHAnsi"/>
          <w:szCs w:val="22"/>
          <w:lang w:eastAsia="ar-SA"/>
        </w:rPr>
        <w:br/>
        <w:t>są realizowane przez:</w:t>
      </w:r>
    </w:p>
    <w:p w:rsidR="002B05AD" w:rsidRPr="002B05AD" w:rsidRDefault="002B05AD" w:rsidP="002B05AD">
      <w:pPr>
        <w:widowControl/>
        <w:numPr>
          <w:ilvl w:val="0"/>
          <w:numId w:val="2"/>
        </w:numPr>
        <w:suppressAutoHyphens/>
        <w:autoSpaceDE/>
        <w:autoSpaceDN/>
        <w:adjustRightInd/>
        <w:spacing w:after="160" w:line="276" w:lineRule="auto"/>
        <w:ind w:left="709"/>
        <w:contextualSpacing/>
        <w:jc w:val="both"/>
        <w:rPr>
          <w:rFonts w:asciiTheme="minorHAnsi" w:hAnsiTheme="minorHAnsi"/>
          <w:sz w:val="22"/>
          <w:szCs w:val="22"/>
          <w:lang w:eastAsia="ar-SA"/>
        </w:rPr>
      </w:pPr>
      <w:r w:rsidRPr="002B05AD">
        <w:rPr>
          <w:rFonts w:asciiTheme="minorHAnsi" w:hAnsiTheme="minorHAnsi"/>
          <w:sz w:val="22"/>
          <w:szCs w:val="22"/>
          <w:lang w:eastAsia="ar-SA"/>
        </w:rPr>
        <w:t xml:space="preserve">partnerów OPS lub PCPR w ramach projektów partnerskich, </w:t>
      </w:r>
    </w:p>
    <w:p w:rsidR="002B05AD" w:rsidRPr="002B05AD" w:rsidRDefault="002B05AD" w:rsidP="002B05AD">
      <w:pPr>
        <w:widowControl/>
        <w:numPr>
          <w:ilvl w:val="0"/>
          <w:numId w:val="2"/>
        </w:numPr>
        <w:suppressAutoHyphens/>
        <w:autoSpaceDE/>
        <w:autoSpaceDN/>
        <w:adjustRightInd/>
        <w:spacing w:after="160" w:line="276" w:lineRule="auto"/>
        <w:ind w:left="709"/>
        <w:contextualSpacing/>
        <w:jc w:val="both"/>
        <w:rPr>
          <w:rFonts w:asciiTheme="minorHAnsi" w:hAnsiTheme="minorHAnsi"/>
          <w:sz w:val="22"/>
          <w:szCs w:val="22"/>
          <w:lang w:eastAsia="ar-SA"/>
        </w:rPr>
      </w:pPr>
      <w:r w:rsidRPr="002B05AD">
        <w:rPr>
          <w:rFonts w:asciiTheme="minorHAnsi" w:hAnsiTheme="minorHAnsi"/>
          <w:sz w:val="22"/>
          <w:szCs w:val="22"/>
          <w:lang w:eastAsia="ar-SA"/>
        </w:rPr>
        <w:t xml:space="preserve">PUP na podstawie porozumienia o realizacji Programu Aktywizacja i Integracja, o którym mowa w ustawie z dnia 20 kwietnia 2004 r. o </w:t>
      </w:r>
      <w:r w:rsidRPr="002B05AD">
        <w:rPr>
          <w:rFonts w:asciiTheme="minorHAnsi" w:hAnsiTheme="minorHAnsi"/>
          <w:i/>
          <w:sz w:val="22"/>
          <w:szCs w:val="22"/>
          <w:lang w:eastAsia="ar-SA"/>
        </w:rPr>
        <w:t xml:space="preserve">promocji zatrudnienia i instytucjach rynku pracy </w:t>
      </w:r>
      <w:r w:rsidRPr="002B05AD">
        <w:rPr>
          <w:rFonts w:asciiTheme="minorHAnsi" w:hAnsiTheme="minorHAnsi"/>
          <w:sz w:val="22"/>
          <w:szCs w:val="22"/>
          <w:lang w:eastAsia="ar-SA"/>
        </w:rPr>
        <w:t>i na zasadach określonych w tej ustawie,</w:t>
      </w:r>
    </w:p>
    <w:p w:rsidR="002B05AD" w:rsidRPr="002B05AD" w:rsidRDefault="002B05AD" w:rsidP="002B05AD">
      <w:pPr>
        <w:widowControl/>
        <w:numPr>
          <w:ilvl w:val="0"/>
          <w:numId w:val="2"/>
        </w:numPr>
        <w:suppressAutoHyphens/>
        <w:autoSpaceDE/>
        <w:autoSpaceDN/>
        <w:adjustRightInd/>
        <w:spacing w:after="160" w:line="276" w:lineRule="auto"/>
        <w:ind w:left="709"/>
        <w:contextualSpacing/>
        <w:jc w:val="both"/>
        <w:rPr>
          <w:rFonts w:asciiTheme="minorHAnsi" w:hAnsiTheme="minorHAnsi"/>
          <w:sz w:val="22"/>
          <w:szCs w:val="22"/>
          <w:lang w:eastAsia="ar-SA"/>
        </w:rPr>
      </w:pPr>
      <w:r w:rsidRPr="002B05AD">
        <w:rPr>
          <w:rFonts w:asciiTheme="minorHAnsi" w:hAnsiTheme="minorHAnsi"/>
          <w:sz w:val="22"/>
          <w:szCs w:val="22"/>
          <w:lang w:eastAsia="ar-SA"/>
        </w:rPr>
        <w:t xml:space="preserve">podmioty wybrane w ramach zlecenia zadania publicznego na zasadach określonych </w:t>
      </w:r>
      <w:r w:rsidRPr="002B05AD">
        <w:rPr>
          <w:rFonts w:asciiTheme="minorHAnsi" w:hAnsiTheme="minorHAnsi"/>
          <w:sz w:val="22"/>
          <w:szCs w:val="22"/>
          <w:lang w:eastAsia="ar-SA"/>
        </w:rPr>
        <w:br/>
        <w:t xml:space="preserve">w ustawie z dnia 24 kwietnia 2003 r. o </w:t>
      </w:r>
      <w:r w:rsidRPr="002B05AD">
        <w:rPr>
          <w:rFonts w:asciiTheme="minorHAnsi" w:hAnsiTheme="minorHAnsi"/>
          <w:i/>
          <w:sz w:val="22"/>
          <w:szCs w:val="22"/>
          <w:lang w:eastAsia="ar-SA"/>
        </w:rPr>
        <w:t>działalności pożytku publicznego i o wolontariacie</w:t>
      </w:r>
      <w:r w:rsidRPr="002B05AD">
        <w:rPr>
          <w:rFonts w:asciiTheme="minorHAnsi" w:hAnsiTheme="minorHAnsi"/>
          <w:sz w:val="22"/>
          <w:szCs w:val="22"/>
          <w:lang w:eastAsia="ar-SA"/>
        </w:rPr>
        <w:t xml:space="preserve"> lub w oparciu o art. 15a ustawy z dnia 27 kwietnia 2006 r. o spółdzielniach socjalnych;</w:t>
      </w:r>
    </w:p>
    <w:p w:rsidR="002B05AD" w:rsidRPr="002B05AD" w:rsidRDefault="002B05AD" w:rsidP="002B05AD">
      <w:pPr>
        <w:widowControl/>
        <w:numPr>
          <w:ilvl w:val="0"/>
          <w:numId w:val="2"/>
        </w:numPr>
        <w:suppressAutoHyphens/>
        <w:autoSpaceDE/>
        <w:autoSpaceDN/>
        <w:adjustRightInd/>
        <w:spacing w:line="276" w:lineRule="auto"/>
        <w:ind w:left="709"/>
        <w:contextualSpacing/>
        <w:jc w:val="both"/>
        <w:rPr>
          <w:rFonts w:asciiTheme="minorHAnsi" w:hAnsiTheme="minorHAnsi"/>
          <w:sz w:val="22"/>
          <w:szCs w:val="22"/>
          <w:lang w:eastAsia="ar-SA"/>
        </w:rPr>
      </w:pPr>
      <w:r w:rsidRPr="002B05AD">
        <w:rPr>
          <w:rFonts w:asciiTheme="minorHAnsi" w:hAnsiTheme="minorHAnsi"/>
          <w:sz w:val="22"/>
          <w:szCs w:val="22"/>
          <w:lang w:eastAsia="ar-SA"/>
        </w:rPr>
        <w:t>podmioty danej jednostki samorządu terytorialnego wyspecjalizowane w zakresie reintegracji zawodowej, o ile zostaną wskazane we wniosku o dofinansowanie projektu jako  realizatorzy projektu;</w:t>
      </w:r>
    </w:p>
    <w:p w:rsidR="002B05AD" w:rsidRPr="002B05AD" w:rsidRDefault="002B05AD" w:rsidP="002B05AD">
      <w:pPr>
        <w:widowControl/>
        <w:numPr>
          <w:ilvl w:val="0"/>
          <w:numId w:val="2"/>
        </w:numPr>
        <w:suppressAutoHyphens/>
        <w:autoSpaceDE/>
        <w:autoSpaceDN/>
        <w:adjustRightInd/>
        <w:spacing w:line="276" w:lineRule="auto"/>
        <w:ind w:left="709"/>
        <w:contextualSpacing/>
        <w:jc w:val="both"/>
        <w:rPr>
          <w:rFonts w:asciiTheme="minorHAnsi" w:hAnsiTheme="minorHAnsi"/>
          <w:sz w:val="22"/>
          <w:szCs w:val="22"/>
          <w:lang w:eastAsia="ar-SA"/>
        </w:rPr>
      </w:pPr>
      <w:r w:rsidRPr="002B05AD">
        <w:rPr>
          <w:rFonts w:asciiTheme="minorHAnsi" w:hAnsiTheme="minorHAnsi" w:cs="Arial"/>
          <w:sz w:val="22"/>
          <w:szCs w:val="22"/>
        </w:rPr>
        <w:t xml:space="preserve">podmioty wybrane na zasadach dotyczących udzielania zamówień określonych w  Wytycznych w zakresie </w:t>
      </w:r>
      <w:proofErr w:type="spellStart"/>
      <w:r w:rsidRPr="002B05AD">
        <w:rPr>
          <w:rFonts w:asciiTheme="minorHAnsi" w:hAnsiTheme="minorHAnsi" w:cs="Arial"/>
          <w:sz w:val="22"/>
          <w:szCs w:val="22"/>
        </w:rPr>
        <w:t>kwalifikowalności</w:t>
      </w:r>
      <w:proofErr w:type="spellEnd"/>
      <w:r w:rsidRPr="002B05AD">
        <w:rPr>
          <w:rFonts w:asciiTheme="minorHAnsi" w:hAnsiTheme="minorHAnsi" w:cs="Arial"/>
          <w:sz w:val="22"/>
          <w:szCs w:val="22"/>
        </w:rPr>
        <w:t xml:space="preserve"> wydatków w ramach Europejskiego Funduszu Rozwoju Regionalnego, Europejskiego Funduszu Społecznego oraz Funduszu Spójności na lata 2014-2020.</w:t>
      </w:r>
    </w:p>
    <w:p w:rsidR="00E75ECC" w:rsidRDefault="00E75ECC"/>
    <w:sectPr w:rsidR="00E75ECC" w:rsidSect="005600C0">
      <w:footerReference w:type="default" r:id="rId8"/>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302" w:rsidRDefault="00B06302" w:rsidP="00C2544F">
      <w:r>
        <w:separator/>
      </w:r>
    </w:p>
  </w:endnote>
  <w:endnote w:type="continuationSeparator" w:id="0">
    <w:p w:rsidR="00B06302" w:rsidRDefault="00B06302" w:rsidP="00C25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1008"/>
      <w:docPartObj>
        <w:docPartGallery w:val="Page Numbers (Bottom of Page)"/>
        <w:docPartUnique/>
      </w:docPartObj>
    </w:sdtPr>
    <w:sdtContent>
      <w:p w:rsidR="00C2544F" w:rsidRDefault="00C2544F">
        <w:pPr>
          <w:pStyle w:val="Stopka"/>
          <w:jc w:val="right"/>
        </w:pPr>
        <w:fldSimple w:instr=" PAGE   \* MERGEFORMAT ">
          <w:r>
            <w:rPr>
              <w:noProof/>
            </w:rPr>
            <w:t>1</w:t>
          </w:r>
        </w:fldSimple>
      </w:p>
    </w:sdtContent>
  </w:sdt>
  <w:p w:rsidR="00C2544F" w:rsidRDefault="00C254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302" w:rsidRDefault="00B06302" w:rsidP="00C2544F">
      <w:r>
        <w:separator/>
      </w:r>
    </w:p>
  </w:footnote>
  <w:footnote w:type="continuationSeparator" w:id="0">
    <w:p w:rsidR="00B06302" w:rsidRDefault="00B06302" w:rsidP="00C25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4206"/>
    <w:multiLevelType w:val="hybridMultilevel"/>
    <w:tmpl w:val="3AA2B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CB27D6E"/>
    <w:multiLevelType w:val="hybridMultilevel"/>
    <w:tmpl w:val="1D023C4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77DA39B0"/>
    <w:multiLevelType w:val="hybridMultilevel"/>
    <w:tmpl w:val="C1EC3402"/>
    <w:lvl w:ilvl="0" w:tplc="B714FAD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B05AD"/>
    <w:rsid w:val="000E7A8D"/>
    <w:rsid w:val="002B05AD"/>
    <w:rsid w:val="004543F0"/>
    <w:rsid w:val="00B06302"/>
    <w:rsid w:val="00C2544F"/>
    <w:rsid w:val="00E75E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5A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2B05AD"/>
    <w:pPr>
      <w:widowControl/>
      <w:tabs>
        <w:tab w:val="left" w:pos="900"/>
      </w:tabs>
      <w:autoSpaceDE/>
      <w:autoSpaceDN/>
      <w:adjustRightInd/>
      <w:jc w:val="both"/>
    </w:pPr>
    <w:rPr>
      <w:sz w:val="24"/>
      <w:szCs w:val="24"/>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2B05AD"/>
    <w:rPr>
      <w:rFonts w:ascii="Times New Roman" w:eastAsia="Times New Roman" w:hAnsi="Times New Roman" w:cs="Times New Roman"/>
      <w:sz w:val="24"/>
      <w:szCs w:val="24"/>
      <w:lang w:eastAsia="pl-PL"/>
    </w:rPr>
  </w:style>
  <w:style w:type="paragraph" w:styleId="Akapitzlist">
    <w:name w:val="List Paragraph"/>
    <w:aliases w:val="Akapit z listą BS,Numerowanie,List Paragraph,Kolorowa lista — akcent 11"/>
    <w:basedOn w:val="Normalny"/>
    <w:link w:val="AkapitzlistZnak"/>
    <w:uiPriority w:val="34"/>
    <w:qFormat/>
    <w:rsid w:val="002B05AD"/>
    <w:pPr>
      <w:widowControl/>
      <w:autoSpaceDE/>
      <w:autoSpaceDN/>
      <w:adjustRightInd/>
      <w:ind w:left="720"/>
      <w:contextualSpacing/>
      <w:jc w:val="center"/>
    </w:pPr>
    <w:rPr>
      <w:rFonts w:ascii="Arial" w:hAnsi="Arial"/>
      <w:sz w:val="22"/>
      <w:szCs w:val="24"/>
    </w:rPr>
  </w:style>
  <w:style w:type="character" w:customStyle="1" w:styleId="AkapitzlistZnak">
    <w:name w:val="Akapit z listą Znak"/>
    <w:aliases w:val="Akapit z listą BS Znak,Numerowanie Znak,List Paragraph Znak,Kolorowa lista — akcent 11 Znak"/>
    <w:link w:val="Akapitzlist"/>
    <w:uiPriority w:val="34"/>
    <w:rsid w:val="002B05AD"/>
    <w:rPr>
      <w:rFonts w:ascii="Arial" w:eastAsia="Times New Roman" w:hAnsi="Arial" w:cs="Times New Roman"/>
      <w:szCs w:val="24"/>
    </w:rPr>
  </w:style>
  <w:style w:type="paragraph" w:styleId="Tekstdymka">
    <w:name w:val="Balloon Text"/>
    <w:basedOn w:val="Normalny"/>
    <w:link w:val="TekstdymkaZnak"/>
    <w:uiPriority w:val="99"/>
    <w:semiHidden/>
    <w:unhideWhenUsed/>
    <w:rsid w:val="002B05AD"/>
    <w:rPr>
      <w:rFonts w:ascii="Tahoma" w:hAnsi="Tahoma" w:cs="Tahoma"/>
      <w:sz w:val="16"/>
      <w:szCs w:val="16"/>
    </w:rPr>
  </w:style>
  <w:style w:type="character" w:customStyle="1" w:styleId="TekstdymkaZnak">
    <w:name w:val="Tekst dymka Znak"/>
    <w:basedOn w:val="Domylnaczcionkaakapitu"/>
    <w:link w:val="Tekstdymka"/>
    <w:uiPriority w:val="99"/>
    <w:semiHidden/>
    <w:rsid w:val="002B05AD"/>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C2544F"/>
    <w:pPr>
      <w:tabs>
        <w:tab w:val="center" w:pos="4536"/>
        <w:tab w:val="right" w:pos="9072"/>
      </w:tabs>
    </w:pPr>
  </w:style>
  <w:style w:type="character" w:customStyle="1" w:styleId="NagwekZnak">
    <w:name w:val="Nagłówek Znak"/>
    <w:basedOn w:val="Domylnaczcionkaakapitu"/>
    <w:link w:val="Nagwek"/>
    <w:uiPriority w:val="99"/>
    <w:semiHidden/>
    <w:rsid w:val="00C2544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2544F"/>
    <w:pPr>
      <w:tabs>
        <w:tab w:val="center" w:pos="4536"/>
        <w:tab w:val="right" w:pos="9072"/>
      </w:tabs>
    </w:pPr>
  </w:style>
  <w:style w:type="character" w:customStyle="1" w:styleId="StopkaZnak">
    <w:name w:val="Stopka Znak"/>
    <w:basedOn w:val="Domylnaczcionkaakapitu"/>
    <w:link w:val="Stopka"/>
    <w:uiPriority w:val="99"/>
    <w:rsid w:val="00C2544F"/>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2775</Characters>
  <Application>Microsoft Office Word</Application>
  <DocSecurity>0</DocSecurity>
  <Lines>23</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karolina.lewandowska</dc:creator>
  <cp:keywords/>
  <dc:description/>
  <cp:lastModifiedBy>karolina.lewandowska</cp:lastModifiedBy>
  <cp:revision>3</cp:revision>
  <cp:lastPrinted>2019-03-15T12:39:00Z</cp:lastPrinted>
  <dcterms:created xsi:type="dcterms:W3CDTF">2019-03-12T09:08:00Z</dcterms:created>
  <dcterms:modified xsi:type="dcterms:W3CDTF">2019-03-15T12:39:00Z</dcterms:modified>
</cp:coreProperties>
</file>